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240" w:before="240" w:lineRule="auto"/>
        <w:jc w:val="center"/>
        <w:rPr>
          <w:rFonts w:ascii="Georgia" w:cs="Georgia" w:eastAsia="Georgia" w:hAnsi="Georgia"/>
          <w:b w:val="1"/>
          <w:bCs w:val="1"/>
          <w:color w:val="111827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11827"/>
          <w:rtl w:val="0"/>
        </w:rPr>
        <w:t xml:space="preserve">Self-Similarity of Neural and Cosmological Networks: A Scale-Invariant Extrapolation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color w:val="111827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Charles W. Rabico Jr.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color w:val="111827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111827"/>
          <w:sz w:val="21"/>
          <w:szCs w:val="21"/>
          <w:rtl w:val="0"/>
        </w:rPr>
        <w:t xml:space="preserve">                                             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111827"/>
          <w:sz w:val="21"/>
          <w:szCs w:val="21"/>
          <w:rtl w:val="0"/>
        </w:rPr>
        <w:t xml:space="preserve">M.S. Industrial/Organizational Psychology (ABT), Systems Analyst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color w:val="4b5563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Georgia" w:cs="Georgia" w:eastAsia="Georgia" w:hAnsi="Georgia"/>
          <w:color w:val="4b5563"/>
          <w:sz w:val="21"/>
          <w:szCs w:val="21"/>
          <w:rtl w:val="0"/>
        </w:rPr>
        <w:t xml:space="preserve">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color w:val="111827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The filamentary structure of the observable cosmic web exhibits striking statistical similarity to biological neural networks {Vazza Feletti 2020}. We perform a speculative scale-invariant extrapolation, treating the Gyr lifetime of our universe as a single “computational event” within a self-similar host structure. This hypothesis is explored under the constraint that the persistence of the observable universe is reliant on maintaining 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rtl w:val="0"/>
        </w:rPr>
        <w:t xml:space="preserve">structural coherence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 (low informational entropy production relative to the host system).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color w:val="111827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We propose that the scale-break between the two systems is determined by the maximum informational capacity required to sustain the observable structure. We calculate the proper time of the host structure, deriving a solution consistent (to within an order of magnitude) with the Schwarzschild proper time for a universe-mass black hole.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color w:val="111827"/>
          <w:sz w:val="21"/>
          <w:szCs w:val="21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rtl w:val="0"/>
        </w:rPr>
        <w:t xml:space="preserve">Testable Prediction (The Dark Matter Solution):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 This structural framework leads to the non-exotic prediction that the missing gravitational mass is composed of 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rtl w:val="0"/>
        </w:rPr>
        <w:t xml:space="preserve">primordial black holes (PBHs)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 and thermally inactive Population III star remnants. These PBHs acted as the gravitational seeds that initially dictated the geometry of the filamentary cosmic web, explaining the neural network-like structure. We suggest that upcoming all-sky surveys (Rubin, Roman, Euclid) may provide the distinguishing observations necessary to constrain the mass and density distribution of these primordial structures. This quantitative agreement warrants investigation as a null hypothesis for “bios-cosmological models.”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rtl w:val="0"/>
        </w:rPr>
        <w:t xml:space="preserve">Note on Equations:</w:t>
      </w:r>
      <w:r w:rsidDel="00000000" w:rsidR="00000000" w:rsidRPr="00000000">
        <w:rPr>
          <w:rFonts w:ascii="Georgia" w:cs="Georgia" w:eastAsia="Georgia" w:hAnsi="Georgia"/>
          <w:color w:val="111827"/>
          <w:sz w:val="21"/>
          <w:szCs w:val="21"/>
          <w:highlight w:val="white"/>
          <w:rtl w:val="0"/>
        </w:rPr>
        <w:t xml:space="preserve"> The calculation uses the fundamental relationship between system size and informational entropy, defining the scale break by the required capacity to maintain the observable system's coherence.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